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Zaklju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ak 14.sjednice UV odr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ane 10.05.2018.g:</w:t>
      </w:r>
    </w:p>
    <w:p>
      <w:pPr>
        <w:pStyle w:val="Body"/>
        <w:rPr>
          <w:sz w:val="24"/>
          <w:szCs w:val="24"/>
        </w:rPr>
      </w:pPr>
    </w:p>
    <w:p>
      <w:pPr>
        <w:pStyle w:val="List Paragraph"/>
        <w:bidi w:val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List Paragraph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AD1</w:t>
      </w:r>
    </w:p>
    <w:p>
      <w:pPr>
        <w:pStyle w:val="List Paragraph"/>
        <w:bidi w:val="0"/>
        <w:ind w:left="0" w:right="0" w:firstLine="0"/>
        <w:jc w:val="both"/>
        <w:rPr>
          <w:rtl w:val="0"/>
        </w:rPr>
      </w:pPr>
      <w:r>
        <w:rPr>
          <w:sz w:val="24"/>
          <w:szCs w:val="24"/>
          <w:rtl w:val="0"/>
        </w:rPr>
        <w:t>Daje se suglasnost za raspisivanje natje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aja za zasnivanje radnog odnosa.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281" w:right="0" w:hanging="924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hanging="72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